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1B056B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8" o:title=""/>
                  </v:shape>
                  <v:shape id="_x0000_s1032" type="#_x0000_t75" style="position:absolute;left:6127;top:4320;width:518;height:713">
                    <v:imagedata r:id="rId9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F72C8A">
              <w:rPr>
                <w:rFonts w:ascii="Arial" w:hAnsi="Arial"/>
                <w:color w:val="000000"/>
              </w:rPr>
              <w:t xml:space="preserve">CBM, </w:t>
            </w:r>
            <w:r w:rsidR="00F72C8A">
              <w:rPr>
                <w:rFonts w:ascii="Arial" w:hAnsi="Arial"/>
                <w:i/>
                <w:color w:val="FF0000"/>
              </w:rPr>
              <w:t>Academic Systems, UBCIT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72C8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F72C8A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 xml:space="preserve">: </w:t>
            </w:r>
            <w:r w:rsidR="00F72C8A">
              <w:rPr>
                <w:b/>
                <w:szCs w:val="24"/>
              </w:rPr>
              <w:t>Develop and maintain secure systems and applications</w:t>
            </w:r>
          </w:p>
        </w:tc>
      </w:tr>
      <w:tr w:rsidR="009129E4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947319" w:rsidRDefault="00F5323E" w:rsidP="00947319">
            <w:pPr>
              <w:pStyle w:val="Header"/>
              <w:rPr>
                <w:rFonts w:ascii="10326Ea8faArialUnicodeMS" w:hAnsi="10326Ea8faArialUnicodeMS" w:cs="10326Ea8faArialUnicodeMS"/>
                <w:sz w:val="18"/>
                <w:szCs w:val="18"/>
              </w:rPr>
            </w:pPr>
            <w:r w:rsidRPr="00F5323E">
              <w:rPr>
                <w:b/>
                <w:sz w:val="22"/>
                <w:szCs w:val="22"/>
              </w:rPr>
              <w:t>Question</w:t>
            </w:r>
            <w:r w:rsidR="000C6DC1" w:rsidRPr="00F5323E">
              <w:rPr>
                <w:b/>
                <w:sz w:val="22"/>
                <w:szCs w:val="22"/>
              </w:rPr>
              <w:t xml:space="preserve"> </w:t>
            </w:r>
            <w:r w:rsidR="00F72C8A">
              <w:rPr>
                <w:b/>
                <w:sz w:val="22"/>
                <w:szCs w:val="22"/>
              </w:rPr>
              <w:br/>
            </w:r>
            <w:r w:rsidR="00947319" w:rsidRPr="00947319">
              <w:rPr>
                <w:rFonts w:ascii="10326Ea8faArialUnicodeMS" w:hAnsi="10326Ea8faArialUnicodeMS" w:cs="10326Ea8faArialUnicodeMS"/>
                <w:sz w:val="18"/>
                <w:szCs w:val="18"/>
              </w:rPr>
              <w:t xml:space="preserve"> </w:t>
            </w: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6.5a Are all web applications developed based on secure</w:t>
            </w: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coding guidelines such as the Open Web Application</w:t>
            </w: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Security Project guidelines?</w:t>
            </w:r>
          </w:p>
          <w:p w:rsid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6.5b Is custom application code reviewed to identify coding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C70">
              <w:rPr>
                <w:b/>
                <w:sz w:val="22"/>
                <w:szCs w:val="22"/>
              </w:rPr>
              <w:t>vulnerabilities?</w:t>
            </w:r>
          </w:p>
          <w:p w:rsid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6.5c Is prevention of common coding vulnerabilities covered in software development processes, including the following?</w:t>
            </w: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6.5.1 Unvalidated input?</w:t>
            </w:r>
          </w:p>
          <w:p w:rsidR="00CC3C70" w:rsidRPr="00CC3C70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6.5.2 Broken access control (for example, malicious use of</w:t>
            </w:r>
          </w:p>
          <w:p w:rsidR="00831941" w:rsidRDefault="00CC3C70" w:rsidP="00CC3C70">
            <w:pPr>
              <w:pStyle w:val="Header"/>
              <w:rPr>
                <w:b/>
                <w:sz w:val="22"/>
                <w:szCs w:val="22"/>
              </w:rPr>
            </w:pPr>
            <w:r w:rsidRPr="00CC3C70">
              <w:rPr>
                <w:b/>
                <w:sz w:val="22"/>
                <w:szCs w:val="22"/>
              </w:rPr>
              <w:t>user IDs)?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6.5.3 Broken authentication and session management (use of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account credentials and session cookies)?</w:t>
            </w:r>
          </w:p>
          <w:p w:rsid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6.5.4 Cross-site scripting (XSS) attacks?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6.5.5 Buffer overflows?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6.5.6 Injection flaws (for example, structured query language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(SQL) injection)?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6.5.7 Improper error handling?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6.5.8 Insecure storage?</w:t>
            </w:r>
          </w:p>
          <w:p w:rsidR="00C1449B" w:rsidRPr="00C1449B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6.5.9 Denial of service?</w:t>
            </w:r>
          </w:p>
          <w:p w:rsidR="00C1449B" w:rsidRPr="00F5323E" w:rsidRDefault="00C1449B" w:rsidP="00C1449B">
            <w:pPr>
              <w:pStyle w:val="Header"/>
              <w:rPr>
                <w:b/>
                <w:sz w:val="22"/>
                <w:szCs w:val="22"/>
              </w:rPr>
            </w:pPr>
            <w:r w:rsidRPr="00C1449B">
              <w:rPr>
                <w:b/>
                <w:sz w:val="22"/>
                <w:szCs w:val="22"/>
              </w:rPr>
              <w:t>6.5.10 Insecure configuration management?</w:t>
            </w:r>
          </w:p>
        </w:tc>
      </w:tr>
      <w:tr w:rsidR="00030936" w:rsidTr="00F72C8A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Pr="00F72C8A" w:rsidRDefault="00F72C8A" w:rsidP="00F72C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August 1,2010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2B2CA2" w:rsidRDefault="002B2CA2" w:rsidP="002B2CA2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 purpose of this document is to </w:t>
      </w:r>
      <w:r w:rsidRPr="00A96EFE">
        <w:rPr>
          <w:sz w:val="22"/>
          <w:szCs w:val="22"/>
        </w:rPr>
        <w:t>specify</w:t>
      </w:r>
      <w:r>
        <w:rPr>
          <w:sz w:val="22"/>
          <w:szCs w:val="22"/>
        </w:rPr>
        <w:t xml:space="preserve"> procedures for PCI Compliance requirement 6.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Senior Systems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Systems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Business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QA Lead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Software Architect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Project Manager</w:t>
      </w:r>
    </w:p>
    <w:p w:rsidR="00CA7D45" w:rsidRDefault="00CA7D45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Academic Systems Support</w:t>
      </w:r>
    </w:p>
    <w:p w:rsidR="00CA7D45" w:rsidRDefault="00CA7D45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</w:t>
      </w:r>
      <w:r w:rsidR="002B2CA2">
        <w:rPr>
          <w:sz w:val="22"/>
          <w:szCs w:val="22"/>
        </w:rPr>
        <w:t>contact: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 Rashtian, Manager Academic Systems Support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Phone: 604-822-8886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Sharon.rashtian@ubc.ca</w:t>
      </w: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C8786A" w:rsidRDefault="00867F6D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As part of UBC’s payment gateway (CBM) architecture, separation of duties has been built into the system. The payment processing engine is deployed separately from the </w:t>
      </w:r>
      <w:r w:rsidR="002F6DAC">
        <w:rPr>
          <w:sz w:val="22"/>
          <w:szCs w:val="22"/>
        </w:rPr>
        <w:t xml:space="preserve">administration module which allows refunds and some reporting. 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Access to the A</w:t>
      </w:r>
      <w:r w:rsidR="002B2CA2">
        <w:rPr>
          <w:sz w:val="22"/>
          <w:szCs w:val="22"/>
        </w:rPr>
        <w:t xml:space="preserve">dministrative module for CBM has been </w:t>
      </w:r>
      <w:r>
        <w:rPr>
          <w:sz w:val="22"/>
          <w:szCs w:val="22"/>
        </w:rPr>
        <w:t>managed by Academic Systems and SIS Security through special registration and account setup procedure.</w:t>
      </w:r>
    </w:p>
    <w:p w:rsidR="00CA7D45" w:rsidRDefault="00CA7D45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Access levels are role based and users only gain access to the functionalities that are required for them to run their business.</w:t>
      </w:r>
    </w:p>
    <w:p w:rsidR="00CA7D45" w:rsidRDefault="00CA7D45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CBM does not transmit or store any credit card information.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Trustwave monitors our admin and payment gateway server to ensure it has the proper level of security that is required for application. </w:t>
      </w:r>
      <w:r w:rsidR="00CA7D45">
        <w:rPr>
          <w:sz w:val="22"/>
          <w:szCs w:val="22"/>
        </w:rPr>
        <w:t>Especially</w:t>
      </w:r>
      <w:r>
        <w:rPr>
          <w:sz w:val="22"/>
          <w:szCs w:val="22"/>
        </w:rPr>
        <w:t xml:space="preserve"> </w:t>
      </w:r>
      <w:r w:rsidR="00CA7D45">
        <w:rPr>
          <w:sz w:val="22"/>
          <w:szCs w:val="22"/>
        </w:rPr>
        <w:t>Systems</w:t>
      </w:r>
      <w:r>
        <w:rPr>
          <w:sz w:val="22"/>
          <w:szCs w:val="22"/>
        </w:rPr>
        <w:t xml:space="preserve"> will be notified if there are risks with regards to XSS, </w:t>
      </w:r>
      <w:r w:rsidR="00BB226B">
        <w:rPr>
          <w:sz w:val="22"/>
          <w:szCs w:val="22"/>
        </w:rPr>
        <w:t>Buffer overflows</w:t>
      </w:r>
      <w:r>
        <w:rPr>
          <w:sz w:val="22"/>
          <w:szCs w:val="22"/>
        </w:rPr>
        <w:t>, and SQL injection into CBM.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Code review by peers reduces the possibility of vulnerabilities in the system, and best practices in coding standards are being used by the development team.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Design review and approval by Software Architect ensures security of the system. 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8786A" w:rsidRDefault="00C8786A" w:rsidP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sectPr w:rsidR="00C8786A" w:rsidRPr="00C8786A" w:rsidSect="00030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940" w:rsidRDefault="00B75940">
      <w:r>
        <w:separator/>
      </w:r>
    </w:p>
  </w:endnote>
  <w:endnote w:type="continuationSeparator" w:id="1">
    <w:p w:rsidR="00B75940" w:rsidRDefault="00B75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10326Ea8fa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4" w:rsidRDefault="00D063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1B056B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1B056B">
      <w:rPr>
        <w:rStyle w:val="PageNumber"/>
        <w:sz w:val="16"/>
      </w:rPr>
      <w:fldChar w:fldCharType="separate"/>
    </w:r>
    <w:r w:rsidR="00D063D4">
      <w:rPr>
        <w:rStyle w:val="PageNumber"/>
        <w:noProof/>
        <w:sz w:val="16"/>
      </w:rPr>
      <w:t>2</w:t>
    </w:r>
    <w:r w:rsidR="001B056B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1B056B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1B056B">
      <w:rPr>
        <w:rStyle w:val="PageNumber"/>
        <w:sz w:val="16"/>
      </w:rPr>
      <w:fldChar w:fldCharType="separate"/>
    </w:r>
    <w:r w:rsidR="00D063D4">
      <w:rPr>
        <w:rStyle w:val="PageNumber"/>
        <w:noProof/>
        <w:sz w:val="16"/>
      </w:rPr>
      <w:t>2</w:t>
    </w:r>
    <w:r w:rsidR="001B056B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1B056B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87379B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1B056B">
      <w:rPr>
        <w:sz w:val="16"/>
      </w:rPr>
      <w:fldChar w:fldCharType="begin"/>
    </w:r>
    <w:r>
      <w:rPr>
        <w:sz w:val="16"/>
      </w:rPr>
      <w:instrText xml:space="preserve"> PAGE </w:instrText>
    </w:r>
    <w:r w:rsidR="001B056B">
      <w:rPr>
        <w:sz w:val="16"/>
      </w:rPr>
      <w:fldChar w:fldCharType="separate"/>
    </w:r>
    <w:r w:rsidR="00D063D4">
      <w:rPr>
        <w:noProof/>
        <w:sz w:val="16"/>
      </w:rPr>
      <w:t>1</w:t>
    </w:r>
    <w:r w:rsidR="001B056B">
      <w:rPr>
        <w:sz w:val="16"/>
      </w:rPr>
      <w:fldChar w:fldCharType="end"/>
    </w:r>
    <w:r>
      <w:rPr>
        <w:sz w:val="16"/>
      </w:rPr>
      <w:t xml:space="preserve"> of </w:t>
    </w:r>
    <w:r w:rsidR="001B056B">
      <w:rPr>
        <w:sz w:val="16"/>
      </w:rPr>
      <w:fldChar w:fldCharType="begin"/>
    </w:r>
    <w:r>
      <w:rPr>
        <w:sz w:val="16"/>
      </w:rPr>
      <w:instrText xml:space="preserve"> NUMPAGES </w:instrText>
    </w:r>
    <w:r w:rsidR="001B056B">
      <w:rPr>
        <w:sz w:val="16"/>
      </w:rPr>
      <w:fldChar w:fldCharType="separate"/>
    </w:r>
    <w:r w:rsidR="00D063D4">
      <w:rPr>
        <w:noProof/>
        <w:sz w:val="16"/>
      </w:rPr>
      <w:t>2</w:t>
    </w:r>
    <w:r w:rsidR="001B056B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940" w:rsidRDefault="00B75940">
      <w:r>
        <w:separator/>
      </w:r>
    </w:p>
  </w:footnote>
  <w:footnote w:type="continuationSeparator" w:id="1">
    <w:p w:rsidR="00B75940" w:rsidRDefault="00B75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4" w:rsidRDefault="00D063D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23079" o:spid="_x0000_s14338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4" w:rsidRDefault="00D063D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23080" o:spid="_x0000_s14339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4" w:rsidRDefault="00D063D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23078" o:spid="_x0000_s14337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A1A6F"/>
    <w:rsid w:val="000B62ED"/>
    <w:rsid w:val="000C3624"/>
    <w:rsid w:val="000C6DC1"/>
    <w:rsid w:val="00142AF8"/>
    <w:rsid w:val="00144990"/>
    <w:rsid w:val="00171E62"/>
    <w:rsid w:val="0017280B"/>
    <w:rsid w:val="001B056B"/>
    <w:rsid w:val="002026EB"/>
    <w:rsid w:val="00220C72"/>
    <w:rsid w:val="00242F49"/>
    <w:rsid w:val="002B2CA2"/>
    <w:rsid w:val="002F6DAC"/>
    <w:rsid w:val="0030681A"/>
    <w:rsid w:val="0031488C"/>
    <w:rsid w:val="0033427A"/>
    <w:rsid w:val="00391060"/>
    <w:rsid w:val="003E1783"/>
    <w:rsid w:val="00453D52"/>
    <w:rsid w:val="004909E2"/>
    <w:rsid w:val="004E0CC8"/>
    <w:rsid w:val="004E4F2E"/>
    <w:rsid w:val="004F231C"/>
    <w:rsid w:val="0050437F"/>
    <w:rsid w:val="00515A48"/>
    <w:rsid w:val="00523E1A"/>
    <w:rsid w:val="00531480"/>
    <w:rsid w:val="00572A08"/>
    <w:rsid w:val="00593E2F"/>
    <w:rsid w:val="006050C4"/>
    <w:rsid w:val="006568C0"/>
    <w:rsid w:val="00684D03"/>
    <w:rsid w:val="006B3B22"/>
    <w:rsid w:val="006C6945"/>
    <w:rsid w:val="006E3965"/>
    <w:rsid w:val="00713882"/>
    <w:rsid w:val="007D523A"/>
    <w:rsid w:val="007F107D"/>
    <w:rsid w:val="00831941"/>
    <w:rsid w:val="00867F6D"/>
    <w:rsid w:val="0087379B"/>
    <w:rsid w:val="0089229E"/>
    <w:rsid w:val="008D7B37"/>
    <w:rsid w:val="009129E4"/>
    <w:rsid w:val="0094562E"/>
    <w:rsid w:val="00947319"/>
    <w:rsid w:val="00965B98"/>
    <w:rsid w:val="009B106E"/>
    <w:rsid w:val="009B214C"/>
    <w:rsid w:val="009E47DC"/>
    <w:rsid w:val="00A04A37"/>
    <w:rsid w:val="00A21A15"/>
    <w:rsid w:val="00A260D2"/>
    <w:rsid w:val="00A32A77"/>
    <w:rsid w:val="00AC1680"/>
    <w:rsid w:val="00B02674"/>
    <w:rsid w:val="00B37656"/>
    <w:rsid w:val="00B75940"/>
    <w:rsid w:val="00B94E81"/>
    <w:rsid w:val="00BB226B"/>
    <w:rsid w:val="00BC65DD"/>
    <w:rsid w:val="00BD0A33"/>
    <w:rsid w:val="00C1449B"/>
    <w:rsid w:val="00C44E36"/>
    <w:rsid w:val="00C5767C"/>
    <w:rsid w:val="00C8786A"/>
    <w:rsid w:val="00CA7D45"/>
    <w:rsid w:val="00CC3C70"/>
    <w:rsid w:val="00D063D4"/>
    <w:rsid w:val="00D441E8"/>
    <w:rsid w:val="00D50F9E"/>
    <w:rsid w:val="00D66F54"/>
    <w:rsid w:val="00DA0438"/>
    <w:rsid w:val="00DE5ECC"/>
    <w:rsid w:val="00E0418D"/>
    <w:rsid w:val="00E526FE"/>
    <w:rsid w:val="00E54520"/>
    <w:rsid w:val="00EA20FE"/>
    <w:rsid w:val="00F5323E"/>
    <w:rsid w:val="00F72C8A"/>
    <w:rsid w:val="00FB0CEF"/>
    <w:rsid w:val="00FB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0D2"/>
    <w:rPr>
      <w:sz w:val="24"/>
    </w:rPr>
  </w:style>
  <w:style w:type="paragraph" w:styleId="Heading1">
    <w:name w:val="heading 1"/>
    <w:basedOn w:val="Normal"/>
    <w:next w:val="Normal"/>
    <w:qFormat/>
    <w:rsid w:val="00A260D2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260D2"/>
    <w:pPr>
      <w:keepNext/>
      <w:outlineLvl w:val="1"/>
    </w:pPr>
  </w:style>
  <w:style w:type="paragraph" w:styleId="Heading3">
    <w:name w:val="heading 3"/>
    <w:basedOn w:val="Normal"/>
    <w:next w:val="Normal"/>
    <w:qFormat/>
    <w:rsid w:val="00A260D2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260D2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A260D2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A260D2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A260D2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A260D2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A260D2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A260D2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A260D2"/>
    <w:pPr>
      <w:jc w:val="both"/>
    </w:pPr>
  </w:style>
  <w:style w:type="character" w:styleId="Hyperlink">
    <w:name w:val="Hyperlink"/>
    <w:basedOn w:val="DefaultParagraphFont"/>
    <w:rsid w:val="00A260D2"/>
    <w:rPr>
      <w:color w:val="0000FF"/>
      <w:u w:val="single"/>
    </w:rPr>
  </w:style>
  <w:style w:type="paragraph" w:styleId="BodyText2">
    <w:name w:val="Body Text 2"/>
    <w:basedOn w:val="Normal"/>
    <w:rsid w:val="00A260D2"/>
  </w:style>
  <w:style w:type="paragraph" w:styleId="Header">
    <w:name w:val="header"/>
    <w:basedOn w:val="Normal"/>
    <w:rsid w:val="00A260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60D2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260D2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A260D2"/>
    <w:pPr>
      <w:spacing w:after="120"/>
      <w:ind w:left="567"/>
      <w:jc w:val="both"/>
    </w:pPr>
  </w:style>
  <w:style w:type="paragraph" w:styleId="BodyText3">
    <w:name w:val="Body Text 3"/>
    <w:basedOn w:val="Normal"/>
    <w:rsid w:val="00A260D2"/>
    <w:rPr>
      <w:sz w:val="22"/>
    </w:rPr>
  </w:style>
  <w:style w:type="paragraph" w:styleId="BodyTextIndent3">
    <w:name w:val="Body Text Indent 3"/>
    <w:basedOn w:val="Normal"/>
    <w:rsid w:val="00A260D2"/>
    <w:pPr>
      <w:ind w:left="360"/>
    </w:pPr>
    <w:rPr>
      <w:bCs/>
    </w:rPr>
  </w:style>
  <w:style w:type="character" w:styleId="PageNumber">
    <w:name w:val="page number"/>
    <w:basedOn w:val="DefaultParagraphFont"/>
    <w:rsid w:val="00A260D2"/>
  </w:style>
  <w:style w:type="paragraph" w:styleId="BalloonText">
    <w:name w:val="Balloon Text"/>
    <w:basedOn w:val="Normal"/>
    <w:semiHidden/>
    <w:rsid w:val="00A26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FB72A-6777-4271-91FA-393EB4F7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8</cp:revision>
  <cp:lastPrinted>2010-06-25T21:02:00Z</cp:lastPrinted>
  <dcterms:created xsi:type="dcterms:W3CDTF">2010-08-02T06:31:00Z</dcterms:created>
  <dcterms:modified xsi:type="dcterms:W3CDTF">2010-09-16T17:24:00Z</dcterms:modified>
</cp:coreProperties>
</file>